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477F0B9A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2A688A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proofErr w:type="gramStart"/>
      <w:r w:rsidR="00A25456">
        <w:rPr>
          <w:rFonts w:eastAsia="Times New Roman" w:cs="Arial"/>
          <w:b/>
          <w:sz w:val="30"/>
          <w:szCs w:val="30"/>
          <w:lang w:eastAsia="cs-CZ"/>
        </w:rPr>
        <w:t>1</w:t>
      </w:r>
      <w:r w:rsidR="00E2263D">
        <w:rPr>
          <w:rFonts w:eastAsia="Times New Roman" w:cs="Arial"/>
          <w:b/>
          <w:sz w:val="30"/>
          <w:szCs w:val="30"/>
          <w:lang w:eastAsia="cs-CZ"/>
        </w:rPr>
        <w:t>3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E2263D">
        <w:rPr>
          <w:rFonts w:eastAsia="Times New Roman" w:cs="Arial"/>
          <w:b/>
          <w:sz w:val="30"/>
          <w:szCs w:val="30"/>
          <w:lang w:eastAsia="cs-CZ"/>
        </w:rPr>
        <w:t>12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 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6D3206">
        <w:rPr>
          <w:rFonts w:eastAsia="Times New Roman" w:cs="Arial"/>
          <w:b/>
          <w:sz w:val="30"/>
          <w:szCs w:val="30"/>
          <w:lang w:eastAsia="cs-CZ"/>
        </w:rPr>
        <w:t>3</w:t>
      </w:r>
      <w:proofErr w:type="gramEnd"/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48D1E535" w:rsidR="00E07D1D" w:rsidRPr="006D3206" w:rsidRDefault="00E2263D" w:rsidP="00A25456">
            <w:pPr>
              <w:pStyle w:val="Textpoznpodarou"/>
              <w:rPr>
                <w:bCs/>
              </w:rPr>
            </w:pPr>
            <w:r>
              <w:rPr>
                <w:bCs/>
              </w:rPr>
              <w:t>4</w:t>
            </w:r>
            <w:r w:rsidR="006D3206" w:rsidRPr="006D3206">
              <w:rPr>
                <w:bCs/>
              </w:rPr>
              <w:t>. výzva MAS POHO</w:t>
            </w:r>
            <w:r w:rsidR="007B6CF6">
              <w:rPr>
                <w:bCs/>
              </w:rPr>
              <w:t xml:space="preserve">DA venkova – IROP </w:t>
            </w:r>
            <w:proofErr w:type="gramStart"/>
            <w:r w:rsidR="007B6CF6">
              <w:rPr>
                <w:bCs/>
              </w:rPr>
              <w:t>21</w:t>
            </w:r>
            <w:proofErr w:type="gramEnd"/>
            <w:r w:rsidR="007B6CF6">
              <w:rPr>
                <w:bCs/>
              </w:rPr>
              <w:t xml:space="preserve">– </w:t>
            </w:r>
            <w:proofErr w:type="gramStart"/>
            <w:r w:rsidR="00A25456">
              <w:rPr>
                <w:bCs/>
              </w:rPr>
              <w:t>Technika</w:t>
            </w:r>
            <w:proofErr w:type="gramEnd"/>
            <w:r w:rsidR="00A25456">
              <w:rPr>
                <w:bCs/>
              </w:rPr>
              <w:t xml:space="preserve"> a věcné prostředky pro IZS</w:t>
            </w:r>
            <w:r w:rsidR="006D3206" w:rsidRPr="006D3206">
              <w:rPr>
                <w:bCs/>
              </w:rPr>
              <w:t xml:space="preserve"> I</w:t>
            </w:r>
            <w:r>
              <w:rPr>
                <w:bCs/>
              </w:rPr>
              <w:t>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047303D8" w:rsidR="00E07D1D" w:rsidRPr="006D3206" w:rsidRDefault="00E2263D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1C55A128" w:rsidR="001B03F4" w:rsidRPr="006D3206" w:rsidRDefault="00A25456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25456">
              <w:rPr>
                <w:bCs/>
                <w:sz w:val="20"/>
                <w:szCs w:val="20"/>
              </w:rPr>
              <w:t>Podpora jednotek sboru dobrovolných hasičů kategorie jednotek požární ochrany II, III a V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3562D22E" w:rsidR="00E07D1D" w:rsidRPr="006D3206" w:rsidRDefault="00A25456" w:rsidP="007B6CF6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25456">
              <w:rPr>
                <w:rFonts w:asciiTheme="minorHAnsi" w:hAnsiTheme="minorHAnsi"/>
                <w:bCs/>
                <w:sz w:val="20"/>
                <w:szCs w:val="20"/>
              </w:rPr>
              <w:t>61. výzva IROP - HASIČI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421"/>
        <w:gridCol w:w="1242"/>
        <w:gridCol w:w="9912"/>
        <w:gridCol w:w="1272"/>
        <w:gridCol w:w="1130"/>
        <w:gridCol w:w="141"/>
        <w:gridCol w:w="1299"/>
      </w:tblGrid>
      <w:tr w:rsidR="009061DD" w:rsidRPr="009F4D5C" w14:paraId="539BE2C0" w14:textId="77777777" w:rsidTr="00CC5DC9">
        <w:tc>
          <w:tcPr>
            <w:tcW w:w="15417" w:type="dxa"/>
            <w:gridSpan w:val="7"/>
            <w:shd w:val="clear" w:color="auto" w:fill="FFFF00"/>
          </w:tcPr>
          <w:p w14:paraId="6E587C0D" w14:textId="0B58EEA2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401490" w:rsidRPr="00401490">
              <w:rPr>
                <w:rFonts w:eastAsia="Times New Roman" w:cs="Arial"/>
                <w:b/>
                <w:sz w:val="24"/>
                <w:szCs w:val="24"/>
                <w:lang w:eastAsia="cs-CZ"/>
              </w:rPr>
              <w:t>Revitalizace veřejných prostranství měst a obcí</w:t>
            </w:r>
          </w:p>
        </w:tc>
      </w:tr>
      <w:tr w:rsidR="009061DD" w:rsidRPr="009F4D5C" w14:paraId="7681ABF6" w14:textId="77777777" w:rsidTr="00CC5DC9">
        <w:tc>
          <w:tcPr>
            <w:tcW w:w="11590" w:type="dxa"/>
            <w:gridSpan w:val="3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2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</w:tcPr>
          <w:p w14:paraId="49551A51" w14:textId="77C77B83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A25456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2"/>
          </w:tcPr>
          <w:p w14:paraId="60DF6A05" w14:textId="631948A7" w:rsidR="009061DD" w:rsidRPr="009F4D5C" w:rsidRDefault="00E2263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2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4164F61" w14:textId="508652FB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 do </w:t>
            </w:r>
            <w:r w:rsidR="00E2263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2 500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5BB0FC10" w:rsidR="00806AE9" w:rsidRDefault="00E2263D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Projektový záměr je realizován v obci, která má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2 50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0259893A" w:rsidR="004E7EB8" w:rsidRPr="00A25456" w:rsidRDefault="00A25456" w:rsidP="00761FB2">
            <w:pPr>
              <w:pStyle w:val="Default"/>
              <w:spacing w:before="4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5456">
              <w:rPr>
                <w:rFonts w:asciiTheme="minorHAnsi" w:hAnsiTheme="minorHAnsi"/>
                <w:sz w:val="20"/>
                <w:szCs w:val="20"/>
              </w:rPr>
              <w:t>U pořízení techniky a věcných prostředků se za místo realizace považuje obec, ve které se nachází objekt (zbrojnice), do které se dané vybavení pořizuje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25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 xml:space="preserve">poč. obyvatel </w:t>
            </w:r>
            <w:proofErr w:type="gramStart"/>
            <w:r w:rsidR="004E7EB8" w:rsidRPr="00444A2B">
              <w:rPr>
                <w:rFonts w:asciiTheme="minorHAnsi" w:hAnsiTheme="minorHAnsi"/>
                <w:sz w:val="20"/>
                <w:szCs w:val="20"/>
              </w:rPr>
              <w:t>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E7EB8" w:rsidRPr="00444A2B">
              <w:rPr>
                <w:rFonts w:asciiTheme="minorHAnsi" w:hAnsiTheme="minorHAnsi"/>
                <w:sz w:val="20"/>
                <w:szCs w:val="20"/>
              </w:rPr>
              <w:t>+...)/počet</w:t>
            </w:r>
            <w:proofErr w:type="gramEnd"/>
            <w:r w:rsidR="004E7EB8" w:rsidRPr="00444A2B">
              <w:rPr>
                <w:rFonts w:asciiTheme="minorHAnsi" w:hAnsiTheme="minorHAnsi"/>
                <w:sz w:val="20"/>
                <w:szCs w:val="20"/>
              </w:rPr>
              <w:t xml:space="preserve">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2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21134546" w14:textId="5710078A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</w:t>
            </w:r>
            <w:proofErr w:type="gramStart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4957C70F" w:rsidR="00A52D55" w:rsidRPr="00512193" w:rsidRDefault="00A25456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do </w:t>
            </w:r>
            <w:r w:rsidR="00E2263D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2 500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včetně.</w:t>
            </w:r>
          </w:p>
          <w:p w14:paraId="3BAB0BE8" w14:textId="668744D7" w:rsidR="00A52D55" w:rsidRPr="00512193" w:rsidRDefault="00E2263D" w:rsidP="00A25456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="00444A2B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</w:t>
            </w:r>
            <w:proofErr w:type="gramStart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1.1.2023</w:t>
            </w:r>
            <w:proofErr w:type="gramEnd"/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2 50</w:t>
            </w:r>
            <w:r w:rsidR="00A2545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444A2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2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5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11198" w:type="dxa"/>
            <w:gridSpan w:val="2"/>
            <w:vAlign w:val="center"/>
          </w:tcPr>
          <w:p w14:paraId="61D77803" w14:textId="43FD774E" w:rsidR="009061DD" w:rsidRPr="00D64FE9" w:rsidRDefault="00444A2B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Zaměření projektového záměru</w:t>
            </w:r>
          </w:p>
        </w:tc>
        <w:tc>
          <w:tcPr>
            <w:tcW w:w="1276" w:type="dxa"/>
          </w:tcPr>
          <w:p w14:paraId="2223EA7A" w14:textId="1719DEDF" w:rsidR="009061DD" w:rsidRPr="009F4D5C" w:rsidRDefault="00E2263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  <w:r w:rsidR="00327FDA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2"/>
          </w:tcPr>
          <w:p w14:paraId="56E70690" w14:textId="0E1652AF" w:rsidR="009061DD" w:rsidRPr="009F4D5C" w:rsidRDefault="00A25456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2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4B5B1D84" w14:textId="6C28E3C7" w:rsidR="00E2263D" w:rsidRDefault="00E2263D" w:rsidP="00E2263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Aktivity projektového záměru jsou zaměřeny na jednotku sboru dobrovolných hasičů obce JPO kategorie II nebo kategorie III.</w:t>
            </w:r>
          </w:p>
          <w:p w14:paraId="1EA20DE2" w14:textId="0AF50C2F" w:rsidR="00D64FE9" w:rsidRPr="00512193" w:rsidRDefault="00327FDA" w:rsidP="00E2263D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A2545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Aktivity projektového záměru jsou zaměřeny na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jednotku sboru dobrovolných hasičů obce JPO kategorie V.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2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78CDF5B6" w14:textId="52805717" w:rsidR="00BF6A76" w:rsidRPr="00512193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5ABEF9AA" w14:textId="6B7CC260" w:rsidR="00D64FE9" w:rsidRDefault="00D64FE9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B29757A" w14:textId="4B243A8F" w:rsidR="00E2263D" w:rsidRPr="00D85DD4" w:rsidRDefault="00E2263D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 bodů, pokud je v projektovém záměru jednoznačně uvedeno, že aktivity projektového záměru jsou zaměřeny na jednotku sboru dobrovolných hasičů obce JPO kategorie II nebo kategorie III.</w:t>
            </w:r>
          </w:p>
          <w:p w14:paraId="787AF1DD" w14:textId="5A081982" w:rsidR="00A52D55" w:rsidRPr="00512193" w:rsidRDefault="00327FDA" w:rsidP="00327FD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E2263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aktivity projektového záměru jsou zaměřeny na jednotku sboru dobrovolných hasičů obce JPO kategorie V.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2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2"/>
          </w:tcPr>
          <w:p w14:paraId="62CD6BD9" w14:textId="71AD2E13" w:rsidR="00D85DD4" w:rsidRPr="00D85DD4" w:rsidRDefault="00874BF2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Potřebnost projektového záměru</w:t>
            </w:r>
          </w:p>
        </w:tc>
        <w:tc>
          <w:tcPr>
            <w:tcW w:w="1276" w:type="dxa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1499C869" w:rsidR="00D85DD4" w:rsidRPr="009F4D5C" w:rsidRDefault="00731766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2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197F5F0A" w14:textId="7B495429" w:rsidR="00874BF2" w:rsidRPr="00512193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Potřebnost projektového záměru je podložena </w:t>
            </w:r>
            <w:r w:rsidR="00AF379F">
              <w:rPr>
                <w:rFonts w:eastAsia="Times New Roman" w:cstheme="minorHAnsi"/>
                <w:sz w:val="20"/>
                <w:szCs w:val="20"/>
                <w:lang w:eastAsia="cs-CZ"/>
              </w:rPr>
              <w:t>analýzou rizik v území pro příslušnou obec s rozšířenou působností.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012021FE" w14:textId="43948E45" w:rsidR="00D85DD4" w:rsidRPr="009F4D5C" w:rsidRDefault="00AF379F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874BF2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Potřebnost projektového záměru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není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podložena analýzou rizik v území pro příslušnou obec s rozšířenou působností.  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2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34500194" w14:textId="6D39B1A6" w:rsidR="000A0F6A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záměr,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Analýza rizik v území pro příslušnou obec s rozšířenou působností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6F6624DB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je potřebnost projektového záměru podložena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analýzou rizik v území pro příslušnou obec s rozšířenou působností.  </w:t>
            </w:r>
          </w:p>
          <w:p w14:paraId="774FC40D" w14:textId="34F679A3" w:rsidR="00D85DD4" w:rsidRPr="009F4D5C" w:rsidRDefault="00E2263D" w:rsidP="00894FC9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0A0F6A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potřebnost projektového záměru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>není</w:t>
            </w:r>
            <w:r w:rsidR="00894FC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0A0F6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podložena </w:t>
            </w:r>
            <w:r w:rsidR="0073176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analýzou rizik v území pro příslušnou obec s rozšířenou působností.  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2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5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2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2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5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2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5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lastRenderedPageBreak/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2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749" w:type="dxa"/>
            <w:gridSpan w:val="5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3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4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4"/>
          </w:tcPr>
          <w:p w14:paraId="6FD13391" w14:textId="554847E2" w:rsidR="00512193" w:rsidRPr="00512193" w:rsidRDefault="00E2263D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  <w:r w:rsidR="00731766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55" w:type="dxa"/>
            <w:gridSpan w:val="4"/>
          </w:tcPr>
          <w:p w14:paraId="6498DCCD" w14:textId="39273F10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E2263D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3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4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FDF11" w14:textId="77777777" w:rsidR="004E745A" w:rsidRDefault="004E745A" w:rsidP="00E07D1D">
      <w:pPr>
        <w:spacing w:after="0" w:line="240" w:lineRule="auto"/>
      </w:pPr>
      <w:r>
        <w:separator/>
      </w:r>
    </w:p>
  </w:endnote>
  <w:endnote w:type="continuationSeparator" w:id="0">
    <w:p w14:paraId="39E6DABB" w14:textId="77777777" w:rsidR="004E745A" w:rsidRDefault="004E745A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183B" w14:textId="77777777" w:rsidR="004E745A" w:rsidRDefault="004E745A" w:rsidP="00E07D1D">
      <w:pPr>
        <w:spacing w:after="0" w:line="240" w:lineRule="auto"/>
      </w:pPr>
      <w:r>
        <w:separator/>
      </w:r>
    </w:p>
  </w:footnote>
  <w:footnote w:type="continuationSeparator" w:id="0">
    <w:p w14:paraId="2BB8CE6A" w14:textId="77777777" w:rsidR="004E745A" w:rsidRDefault="004E745A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F6BEF"/>
    <w:rsid w:val="00107B13"/>
    <w:rsid w:val="00181BD4"/>
    <w:rsid w:val="001B03F4"/>
    <w:rsid w:val="001B1DF1"/>
    <w:rsid w:val="001B3F51"/>
    <w:rsid w:val="001F3DA1"/>
    <w:rsid w:val="002232D5"/>
    <w:rsid w:val="00252EE8"/>
    <w:rsid w:val="002A688A"/>
    <w:rsid w:val="002C0987"/>
    <w:rsid w:val="002D2F16"/>
    <w:rsid w:val="002E04AB"/>
    <w:rsid w:val="002E7CD4"/>
    <w:rsid w:val="00327FDA"/>
    <w:rsid w:val="00344B55"/>
    <w:rsid w:val="0035437E"/>
    <w:rsid w:val="00355E48"/>
    <w:rsid w:val="00376A3B"/>
    <w:rsid w:val="003917BA"/>
    <w:rsid w:val="003D25E7"/>
    <w:rsid w:val="003D5DD4"/>
    <w:rsid w:val="003D6DF6"/>
    <w:rsid w:val="00401490"/>
    <w:rsid w:val="00410570"/>
    <w:rsid w:val="00414AC9"/>
    <w:rsid w:val="00444A2B"/>
    <w:rsid w:val="00452942"/>
    <w:rsid w:val="0045586B"/>
    <w:rsid w:val="00492CE7"/>
    <w:rsid w:val="004965A6"/>
    <w:rsid w:val="004A581C"/>
    <w:rsid w:val="004D7B4B"/>
    <w:rsid w:val="004E745A"/>
    <w:rsid w:val="004E7EB8"/>
    <w:rsid w:val="00500325"/>
    <w:rsid w:val="00512193"/>
    <w:rsid w:val="0053124F"/>
    <w:rsid w:val="00533750"/>
    <w:rsid w:val="00540F0F"/>
    <w:rsid w:val="00575A8B"/>
    <w:rsid w:val="0059477C"/>
    <w:rsid w:val="005B1038"/>
    <w:rsid w:val="005B5DAC"/>
    <w:rsid w:val="0060404F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31766"/>
    <w:rsid w:val="0076024D"/>
    <w:rsid w:val="00761FB2"/>
    <w:rsid w:val="007B4C1C"/>
    <w:rsid w:val="007B6CF6"/>
    <w:rsid w:val="007C0A5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94FC9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25456"/>
    <w:rsid w:val="00A41960"/>
    <w:rsid w:val="00A52D55"/>
    <w:rsid w:val="00A53132"/>
    <w:rsid w:val="00A544B1"/>
    <w:rsid w:val="00A7272C"/>
    <w:rsid w:val="00A76005"/>
    <w:rsid w:val="00AB3EB9"/>
    <w:rsid w:val="00AD37B6"/>
    <w:rsid w:val="00AD4070"/>
    <w:rsid w:val="00AF379F"/>
    <w:rsid w:val="00B01F01"/>
    <w:rsid w:val="00B50B6C"/>
    <w:rsid w:val="00B52006"/>
    <w:rsid w:val="00B61FC0"/>
    <w:rsid w:val="00BA19AB"/>
    <w:rsid w:val="00BB01DB"/>
    <w:rsid w:val="00BB0A9B"/>
    <w:rsid w:val="00BF43A1"/>
    <w:rsid w:val="00BF6A76"/>
    <w:rsid w:val="00C231AB"/>
    <w:rsid w:val="00C30883"/>
    <w:rsid w:val="00C615EC"/>
    <w:rsid w:val="00C84011"/>
    <w:rsid w:val="00C95E24"/>
    <w:rsid w:val="00CA79F5"/>
    <w:rsid w:val="00CB2503"/>
    <w:rsid w:val="00CC3243"/>
    <w:rsid w:val="00CC5DC9"/>
    <w:rsid w:val="00D64FE9"/>
    <w:rsid w:val="00D85DD4"/>
    <w:rsid w:val="00D91D50"/>
    <w:rsid w:val="00D978B1"/>
    <w:rsid w:val="00DA66BB"/>
    <w:rsid w:val="00DD7892"/>
    <w:rsid w:val="00DE19AF"/>
    <w:rsid w:val="00E07D1D"/>
    <w:rsid w:val="00E2263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19</cp:revision>
  <cp:lastPrinted>2018-11-12T14:06:00Z</cp:lastPrinted>
  <dcterms:created xsi:type="dcterms:W3CDTF">2021-01-12T11:44:00Z</dcterms:created>
  <dcterms:modified xsi:type="dcterms:W3CDTF">2023-12-04T15:15:00Z</dcterms:modified>
</cp:coreProperties>
</file>